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7E" w:rsidRDefault="003D6750">
      <w:r w:rsidRPr="003D6750">
        <w:t>https://www.iberley.es/revista/entrada-vigor-modificaciones-rd-ley-1-2023-nuevos-incentivos-contratacion-laboral-2023-aspectos-741</w:t>
      </w:r>
      <w:bookmarkStart w:id="0" w:name="_GoBack"/>
      <w:bookmarkEnd w:id="0"/>
    </w:p>
    <w:sectPr w:rsidR="000A317E" w:rsidSect="00760351">
      <w:type w:val="continuous"/>
      <w:pgSz w:w="16838" w:h="11906" w:orient="landscape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0"/>
    <w:rsid w:val="000A317E"/>
    <w:rsid w:val="003D6750"/>
    <w:rsid w:val="007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A97E-5ACE-47EC-9665-91BF982A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Ochoa Campo</dc:creator>
  <cp:keywords/>
  <dc:description/>
  <cp:lastModifiedBy>María Elena Ochoa Campo</cp:lastModifiedBy>
  <cp:revision>1</cp:revision>
  <dcterms:created xsi:type="dcterms:W3CDTF">2023-01-24T07:13:00Z</dcterms:created>
  <dcterms:modified xsi:type="dcterms:W3CDTF">2023-01-24T07:13:00Z</dcterms:modified>
</cp:coreProperties>
</file>